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B413D">
      <w:pPr>
        <w:pStyle w:val="2"/>
        <w:adjustRightInd w:val="0"/>
        <w:snapToGrid w:val="0"/>
        <w:spacing w:before="0" w:after="120" w:line="440" w:lineRule="atLeast"/>
        <w:ind w:left="0" w:leftChars="0" w:firstLine="0" w:firstLineChars="0"/>
        <w:rPr>
          <w:rFonts w:hint="default" w:ascii="Times New Roman" w:hAnsi="Times New Roman" w:eastAsia="华文中宋"/>
          <w:highlight w:val="none"/>
          <w:lang w:val="en-US" w:eastAsia="zh-Hans"/>
        </w:rPr>
      </w:pP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CN" w:bidi="ar-SA"/>
        </w:rPr>
        <w:t>附件1</w:t>
      </w: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Hans" w:bidi="ar-SA"/>
        </w:rPr>
        <w:t>.“新青年·联合国</w:t>
      </w: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CN" w:bidi="ar-SA"/>
        </w:rPr>
        <w:t>驻</w:t>
      </w:r>
      <w:r>
        <w:rPr>
          <w:rFonts w:hint="eastAsia" w:ascii="仿宋_GB2312" w:hAnsi="Calibri" w:eastAsia="仿宋_GB2312" w:cs="宋体"/>
          <w:b/>
          <w:bCs/>
          <w:kern w:val="2"/>
          <w:sz w:val="28"/>
          <w:szCs w:val="32"/>
          <w:highlight w:val="none"/>
          <w:lang w:val="en-US" w:eastAsia="zh-Hans" w:bidi="ar-SA"/>
        </w:rPr>
        <w:t>亚太总部实地交流项目”行程安排</w:t>
      </w:r>
    </w:p>
    <w:p w14:paraId="520F9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00" w:firstLineChars="200"/>
        <w:jc w:val="center"/>
        <w:textAlignment w:val="auto"/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表1：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“新青年·</w:t>
      </w:r>
      <w:r>
        <w:rPr>
          <w:rFonts w:hint="default" w:ascii="宋体" w:hAnsi="宋体" w:cs="宋体"/>
          <w:b w:val="0"/>
          <w:bCs w:val="0"/>
          <w:sz w:val="20"/>
          <w:szCs w:val="21"/>
          <w:highlight w:val="none"/>
          <w:lang w:eastAsia="zh-Hans"/>
        </w:rPr>
        <w:t>联合国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驻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亚太总部</w:t>
      </w:r>
      <w:r>
        <w:rPr>
          <w:rFonts w:hint="default" w:ascii="宋体" w:hAnsi="宋体" w:cs="宋体"/>
          <w:b w:val="0"/>
          <w:bCs w:val="0"/>
          <w:sz w:val="20"/>
          <w:szCs w:val="21"/>
          <w:highlight w:val="none"/>
          <w:lang w:eastAsia="zh-Hans"/>
        </w:rPr>
        <w:t>实地交流项目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Hans"/>
        </w:rPr>
        <w:t>”行程</w:t>
      </w:r>
      <w:r>
        <w:rPr>
          <w:rFonts w:hint="eastAsia" w:ascii="宋体" w:hAnsi="宋体" w:cs="宋体"/>
          <w:b w:val="0"/>
          <w:bCs w:val="0"/>
          <w:sz w:val="20"/>
          <w:szCs w:val="21"/>
          <w:highlight w:val="none"/>
          <w:lang w:val="en-US" w:eastAsia="zh-CN"/>
        </w:rPr>
        <w:t>安排</w:t>
      </w:r>
    </w:p>
    <w:p w14:paraId="46221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center"/>
        <w:textAlignment w:val="auto"/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Table</w:t>
      </w:r>
      <w:r>
        <w:rPr>
          <w:rFonts w:hint="eastAsia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1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 xml:space="preserve">: Course schedule of "Field Exchange </w:t>
      </w:r>
      <w:r>
        <w:rPr>
          <w:rFonts w:hint="eastAsia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>Project</w:t>
      </w:r>
      <w:r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  <w:t xml:space="preserve"> with UN AP Head Offices in Bangkok"</w:t>
      </w:r>
    </w:p>
    <w:bookmarkEnd w:id="0"/>
    <w:p w14:paraId="47A58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360" w:firstLineChars="200"/>
        <w:jc w:val="center"/>
        <w:textAlignment w:val="auto"/>
        <w:rPr>
          <w:rFonts w:hint="default" w:ascii="宋体" w:hAnsi="宋体" w:cs="宋体"/>
          <w:b w:val="0"/>
          <w:bCs w:val="0"/>
          <w:sz w:val="18"/>
          <w:szCs w:val="20"/>
          <w:highlight w:val="none"/>
          <w:lang w:val="en-US" w:eastAsia="zh-CN"/>
        </w:rPr>
      </w:pPr>
    </w:p>
    <w:tbl>
      <w:tblPr>
        <w:tblStyle w:val="5"/>
        <w:tblW w:w="0" w:type="auto"/>
        <w:tblInd w:w="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5645"/>
      </w:tblGrid>
      <w:tr w14:paraId="77925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1" w:type="dxa"/>
            <w:gridSpan w:val="2"/>
            <w:noWrap w:val="0"/>
            <w:vAlign w:val="top"/>
          </w:tcPr>
          <w:p w14:paraId="2EC4E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val="en-US" w:eastAsia="zh-Hans"/>
              </w:rPr>
              <w:t>先导课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eastAsia="zh-Hans"/>
              </w:rPr>
              <w:t>（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21"/>
                <w:szCs w:val="21"/>
                <w:highlight w:val="none"/>
                <w:lang w:val="en-US" w:eastAsia="zh-Hans"/>
              </w:rPr>
              <w:t>线上形式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22"/>
                <w:szCs w:val="22"/>
                <w:highlight w:val="none"/>
                <w:lang w:eastAsia="zh-Hans"/>
              </w:rPr>
              <w:t>）</w:t>
            </w:r>
          </w:p>
        </w:tc>
      </w:tr>
      <w:tr w14:paraId="530B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6" w:type="dxa"/>
            <w:noWrap w:val="0"/>
            <w:vAlign w:val="top"/>
          </w:tcPr>
          <w:p w14:paraId="1D7EE7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时间</w:t>
            </w:r>
          </w:p>
        </w:tc>
        <w:tc>
          <w:tcPr>
            <w:tcW w:w="5645" w:type="dxa"/>
            <w:noWrap w:val="0"/>
            <w:vAlign w:val="top"/>
          </w:tcPr>
          <w:p w14:paraId="5F870C6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课程内容</w:t>
            </w:r>
          </w:p>
        </w:tc>
      </w:tr>
      <w:tr w14:paraId="583C3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776" w:type="dxa"/>
            <w:noWrap w:val="0"/>
            <w:vAlign w:val="center"/>
          </w:tcPr>
          <w:p w14:paraId="4266F4B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default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1</w:t>
            </w:r>
          </w:p>
          <w:p w14:paraId="1E72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00</w:t>
            </w:r>
          </w:p>
        </w:tc>
        <w:tc>
          <w:tcPr>
            <w:tcW w:w="5645" w:type="dxa"/>
            <w:noWrap w:val="0"/>
            <w:vAlign w:val="top"/>
          </w:tcPr>
          <w:p w14:paraId="2B117054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·线上开营仪式</w:t>
            </w:r>
          </w:p>
          <w:p w14:paraId="67464B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·项目整体介绍、日程安排介绍</w:t>
            </w:r>
          </w:p>
          <w:p w14:paraId="546CFD78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联合国实习生分享、问答环节</w:t>
            </w:r>
          </w:p>
        </w:tc>
      </w:tr>
      <w:tr w14:paraId="3FA0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6" w:type="dxa"/>
            <w:noWrap w:val="0"/>
            <w:vAlign w:val="center"/>
          </w:tcPr>
          <w:p w14:paraId="72DDD7F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default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2</w:t>
            </w:r>
          </w:p>
          <w:p w14:paraId="04078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PingFang SC Regular" w:cs="宋体"/>
                <w:b w:val="0"/>
                <w:bCs w:val="0"/>
                <w:sz w:val="18"/>
                <w:szCs w:val="20"/>
                <w:highlight w:val="none"/>
                <w:vertAlign w:val="baseline"/>
                <w:lang w:val="en-US" w:eastAsia="zh-Hans"/>
              </w:rPr>
            </w:pP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19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  <w:t>: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 xml:space="preserve">00 </w:t>
            </w:r>
          </w:p>
        </w:tc>
        <w:tc>
          <w:tcPr>
            <w:tcW w:w="5645" w:type="dxa"/>
            <w:noWrap w:val="0"/>
            <w:vAlign w:val="top"/>
          </w:tcPr>
          <w:p w14:paraId="00F67D6D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主题</w:t>
            </w: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讲座：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参加国际会议议程及注意事项</w:t>
            </w:r>
          </w:p>
          <w:p w14:paraId="7EF65430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·互动问答</w:t>
            </w:r>
          </w:p>
        </w:tc>
      </w:tr>
    </w:tbl>
    <w:tbl>
      <w:tblPr>
        <w:tblStyle w:val="4"/>
        <w:tblpPr w:leftFromText="180" w:rightFromText="180" w:vertAnchor="text" w:horzAnchor="page" w:tblpX="1836" w:tblpY="505"/>
        <w:tblOverlap w:val="never"/>
        <w:tblW w:w="84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3"/>
        <w:gridCol w:w="3135"/>
        <w:gridCol w:w="2532"/>
        <w:gridCol w:w="2036"/>
      </w:tblGrid>
      <w:tr w14:paraId="55D5C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1" w:hRule="atLeast"/>
        </w:trPr>
        <w:tc>
          <w:tcPr>
            <w:tcW w:w="84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220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实地交流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CN"/>
              </w:rPr>
              <w:t>－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val="en-US" w:eastAsia="zh-Hans"/>
              </w:rPr>
              <w:t>泰国</w:t>
            </w:r>
            <w:r>
              <w:rPr>
                <w:rFonts w:hint="default" w:ascii="PingFang SC Regular" w:hAnsi="PingFang SC Regular" w:eastAsia="PingFang SC Regular" w:cs="PingFang SC Regular"/>
                <w:b/>
                <w:bCs/>
                <w:szCs w:val="21"/>
                <w:highlight w:val="none"/>
                <w:lang w:eastAsia="zh-Hans"/>
              </w:rPr>
              <w:t>·</w:t>
            </w:r>
            <w:r>
              <w:rPr>
                <w:rFonts w:hint="eastAsia" w:ascii="PingFang SC Regular" w:hAnsi="PingFang SC Regular" w:eastAsia="PingFang SC Regular" w:cs="PingFang SC Regular"/>
                <w:b/>
                <w:bCs/>
                <w:szCs w:val="21"/>
                <w:highlight w:val="none"/>
                <w:lang w:val="en-US" w:eastAsia="zh-Hans"/>
              </w:rPr>
              <w:t>曼谷</w:t>
            </w:r>
          </w:p>
        </w:tc>
      </w:tr>
      <w:tr w14:paraId="3C433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</w:trPr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9D0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行程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EB24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上午（9:00-11:00）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DE4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下午（14:00-18:00）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0D76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8"/>
                <w:szCs w:val="18"/>
                <w:highlight w:val="none"/>
              </w:rPr>
              <w:t>晚上（18:00-21:00）</w:t>
            </w:r>
          </w:p>
        </w:tc>
      </w:tr>
      <w:tr w14:paraId="70DA9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3" w:hRule="atLeast"/>
        </w:trPr>
        <w:tc>
          <w:tcPr>
            <w:tcW w:w="71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B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3</w:t>
            </w:r>
          </w:p>
          <w:p w14:paraId="5EB887A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eastAsia="zh-Hans"/>
              </w:rPr>
              <w:t>飞行日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7CA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国内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</w:rPr>
              <w:t>机场集合</w:t>
            </w:r>
          </w:p>
          <w:p w14:paraId="7720013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·抵达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曼谷</w:t>
            </w:r>
          </w:p>
          <w:p w14:paraId="318CCFA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eastAsia="zh-Hans"/>
              </w:rPr>
              <w:t>·入住酒店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休整</w:t>
            </w:r>
          </w:p>
        </w:tc>
      </w:tr>
      <w:tr w14:paraId="2A376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1838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D4</w:t>
            </w:r>
          </w:p>
          <w:p w14:paraId="09698EA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城市调研</w:t>
            </w:r>
          </w:p>
        </w:tc>
        <w:tc>
          <w:tcPr>
            <w:tcW w:w="5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231B">
            <w:pPr>
              <w:widowControl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  <w:t>校园调研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｜泰国高校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  <w:t>-朱拉隆功大学、亚洲理工学院</w:t>
            </w:r>
          </w:p>
          <w:p w14:paraId="429D6985">
            <w:pPr>
              <w:widowControl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·调研泰国当地高校校园环境</w:t>
            </w:r>
          </w:p>
          <w:p w14:paraId="552E4F4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·了解泰国的高等教育体系和学术氛围，拓宽国际教育视野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33E8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 w14:paraId="4CC6C2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 w14:paraId="5B98E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7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14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D5</w:t>
            </w:r>
          </w:p>
          <w:p w14:paraId="0317784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城市调研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DD40">
            <w:pPr>
              <w:widowControl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城市调研｜文化地标-大皇宫</w:t>
            </w:r>
          </w:p>
          <w:p w14:paraId="3E6F97B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val="en-US" w:eastAsia="zh-CN"/>
              </w:rPr>
              <w:t>泰国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历代王宫保存最完美、规模最大、最有民族特色的王宫</w:t>
            </w:r>
          </w:p>
          <w:p w14:paraId="4D9CD87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·了解大皇宫的历史、建筑风格、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lang w:val="en-US" w:eastAsia="zh-CN"/>
              </w:rPr>
              <w:t>建筑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意义等</w:t>
            </w:r>
          </w:p>
          <w:p w14:paraId="74A02C6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  <w:t xml:space="preserve">城市调研 | 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湄南河</w:t>
            </w:r>
          </w:p>
          <w:p w14:paraId="41EA685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·感受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泰国第一大河</w:t>
            </w:r>
          </w:p>
          <w:p w14:paraId="2F668DA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·了解曼谷河流历史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2D78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调研参访｜唐人街</w:t>
            </w:r>
          </w:p>
          <w:p w14:paraId="4286F46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·了解泰国华人的生活状况、文化传承和社会融入情况，探究中泰文化的交流与融合在唐人街的体现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A8B5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 w14:paraId="62D3339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 w14:paraId="19EAB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D4E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D6</w:t>
            </w:r>
          </w:p>
          <w:p w14:paraId="54FC232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高校调研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90D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城市调研｜文化艺术中心</w:t>
            </w:r>
          </w:p>
          <w:p w14:paraId="00045ED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探索曼谷当代艺术的发展趋势和特点</w:t>
            </w:r>
          </w:p>
          <w:p w14:paraId="2A9A2E1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了解曼谷文化艺术中心在城市文化建设中的作用和影响</w:t>
            </w:r>
          </w:p>
          <w:p w14:paraId="75163B9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</w:t>
            </w: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分析其建筑设计与文化功能的融合方式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BAB3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  <w:t>城市调研 | 曼谷文化与商业体验</w:t>
            </w:r>
          </w:p>
          <w:p w14:paraId="134F28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亲身感受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中泰商业特色，体会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运作模式和特点</w:t>
            </w:r>
          </w:p>
          <w:p w14:paraId="3197169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促进学生对不同文化背景下商业与文化相互关系的思考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FD81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Hans"/>
              </w:rPr>
              <w:t>小组讨论</w:t>
            </w:r>
          </w:p>
          <w:p w14:paraId="57C53D5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·分享学习到的知识与思考</w:t>
            </w:r>
          </w:p>
        </w:tc>
      </w:tr>
      <w:tr w14:paraId="12D3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5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5A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D7</w:t>
            </w:r>
          </w:p>
          <w:p w14:paraId="76554A5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高校调研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AFC1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  <w:t>外交参访｜驻外机构</w:t>
            </w:r>
          </w:p>
          <w:p w14:paraId="5D6B56D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·了解驻外机构的领事服务等</w:t>
            </w:r>
          </w:p>
          <w:p w14:paraId="1DF6B56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·增强国家意识和民族自豪感，感受到祖国在海外的影响力和地位</w:t>
            </w:r>
          </w:p>
          <w:p w14:paraId="6478FD2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·对中泰外交关系深入了解，进一步提升国际视野和跨文化交流能力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A07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  <w:t>校园调研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</w:rPr>
              <w:t>｜</w:t>
            </w: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  <w:t>泰国农业大学</w:t>
            </w:r>
          </w:p>
          <w:p w14:paraId="2D71C7E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·调研泰国当地高校校园环境</w:t>
            </w:r>
          </w:p>
          <w:p w14:paraId="604CB2B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</w:rPr>
              <w:t>·了解泰国的高等教育体系和学术氛围，拓宽国际教育视野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AC40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 | 会议注册</w:t>
            </w:r>
          </w:p>
          <w:p w14:paraId="5DD27BF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eastAsia="zh-CN"/>
              </w:rPr>
              <w:t>·</w:t>
            </w: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团组进行会议注册</w:t>
            </w:r>
          </w:p>
        </w:tc>
      </w:tr>
      <w:tr w14:paraId="66E1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28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8</w:t>
            </w:r>
          </w:p>
          <w:p w14:paraId="223D92E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B95E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国际会议｜全球大学生领袖研讨会</w:t>
            </w:r>
          </w:p>
          <w:p w14:paraId="19418D0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·开幕仪式</w:t>
            </w:r>
          </w:p>
          <w:p w14:paraId="153EF12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·领导致辞</w:t>
            </w:r>
          </w:p>
          <w:p w14:paraId="7371835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·与演讲嘉宾、联合国机构进行咨询交流</w:t>
            </w:r>
          </w:p>
          <w:p w14:paraId="0F577A3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8EE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国际会议｜全球大学生领袖研讨会</w:t>
            </w:r>
          </w:p>
          <w:p w14:paraId="6C5709D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·邀请嘉宾进行主题研讨</w:t>
            </w:r>
          </w:p>
          <w:p w14:paraId="0CB7CCC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·茶歇交流</w:t>
            </w:r>
          </w:p>
          <w:p w14:paraId="7A04676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·与演讲嘉宾、联合国机构进行咨询交流</w:t>
            </w:r>
          </w:p>
          <w:p w14:paraId="3865978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·邀请嘉宾进行主题研讨</w:t>
            </w:r>
          </w:p>
          <w:p w14:paraId="5C33F1F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AD71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小组任务 | 倡议书</w:t>
            </w:r>
          </w:p>
          <w:p w14:paraId="44DDDFD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小组讨论、头脑风暴</w:t>
            </w:r>
          </w:p>
          <w:p w14:paraId="49386CD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6BA03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3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C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9</w:t>
            </w:r>
          </w:p>
          <w:p w14:paraId="6F6926C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FCF7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国际会议｜全球大学生领袖研讨会</w:t>
            </w:r>
          </w:p>
          <w:p w14:paraId="4130E50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·邀请嘉宾进行主题研讨</w:t>
            </w:r>
          </w:p>
          <w:p w14:paraId="24C7DB1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·茶歇交流</w:t>
            </w:r>
          </w:p>
          <w:p w14:paraId="12572B6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·与演讲嘉宾、联合国机构进行咨询交流</w:t>
            </w:r>
          </w:p>
          <w:p w14:paraId="6387E7B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3097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国际会议｜全球大学生领袖研讨会</w:t>
            </w:r>
          </w:p>
          <w:p w14:paraId="1F7295BC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·邀请嘉宾进行主题研讨</w:t>
            </w:r>
          </w:p>
          <w:p w14:paraId="1A6377A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·茶歇交流</w:t>
            </w:r>
          </w:p>
          <w:p w14:paraId="2EFB0B1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·与演讲嘉宾、联合国机构进行咨询交流</w:t>
            </w:r>
          </w:p>
          <w:p w14:paraId="0910F2C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94A6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小组任务 | 倡议书</w:t>
            </w:r>
          </w:p>
          <w:p w14:paraId="3155CB1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小组讨论、头脑风暴</w:t>
            </w:r>
          </w:p>
          <w:p w14:paraId="3A139EE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519CC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6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D2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D10</w:t>
            </w:r>
          </w:p>
          <w:p w14:paraId="41F0E60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  <w:t>行动与赋能</w:t>
            </w:r>
          </w:p>
        </w:tc>
        <w:tc>
          <w:tcPr>
            <w:tcW w:w="5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A1A4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  <w:t>志愿服务｜反馈日</w:t>
            </w:r>
          </w:p>
          <w:p w14:paraId="19447E6D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kern w:val="2"/>
                <w:sz w:val="16"/>
                <w:szCs w:val="16"/>
                <w:highlight w:val="none"/>
                <w:lang w:val="en-US" w:eastAsia="zh-CN" w:bidi="ar-SA"/>
              </w:rPr>
              <w:t>·围绕国际会议主题在泰进行志愿服务</w:t>
            </w:r>
          </w:p>
          <w:p w14:paraId="2AE4729E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kern w:val="2"/>
                <w:sz w:val="16"/>
                <w:szCs w:val="16"/>
                <w:highlight w:val="none"/>
                <w:lang w:val="en-US" w:eastAsia="zh-CN" w:bidi="ar-SA"/>
              </w:rPr>
              <w:t>·围绕会议主题赋能当地环境、难民、经济、教育等</w:t>
            </w:r>
          </w:p>
          <w:p w14:paraId="01EFFF75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·学生共同协作、交流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B3EB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小组任务 | 倡议书</w:t>
            </w:r>
          </w:p>
          <w:p w14:paraId="00DD706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小组讨论、头脑风暴</w:t>
            </w:r>
          </w:p>
          <w:p w14:paraId="5461603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4CA3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2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A8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11</w:t>
            </w:r>
          </w:p>
          <w:p w14:paraId="41A965F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B1BF7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国际会议｜全球大学生领袖研讨会</w:t>
            </w:r>
          </w:p>
          <w:p w14:paraId="60651AF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·邀请嘉宾进行主题研讨</w:t>
            </w:r>
          </w:p>
          <w:p w14:paraId="5EE6B8E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·茶歇交流</w:t>
            </w:r>
          </w:p>
          <w:p w14:paraId="099E1490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·与演讲嘉宾、联合国机构进行咨询交流</w:t>
            </w:r>
          </w:p>
          <w:p w14:paraId="535043D9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2F2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国际会议｜全球大学生领袖研讨会</w:t>
            </w:r>
          </w:p>
          <w:p w14:paraId="36585DB1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·邀请嘉宾进行主题研讨</w:t>
            </w:r>
          </w:p>
          <w:p w14:paraId="13321C72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·茶歇交流</w:t>
            </w:r>
          </w:p>
          <w:p w14:paraId="1298A8A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·与演讲嘉宾、联合国机构进行咨询交流</w:t>
            </w:r>
          </w:p>
          <w:p w14:paraId="1D22D9DB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CN"/>
              </w:rPr>
              <w:t>·闭幕式</w:t>
            </w:r>
          </w:p>
          <w:p w14:paraId="36E1B654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i/>
                <w:iCs/>
                <w:sz w:val="16"/>
                <w:szCs w:val="16"/>
                <w:highlight w:val="none"/>
                <w:lang w:val="en-US" w:eastAsia="zh-CN"/>
              </w:rPr>
              <w:t>－联合国亚太经社理事会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3D376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CN"/>
              </w:rPr>
              <w:t>小组任务 | 倡议书</w:t>
            </w:r>
          </w:p>
          <w:p w14:paraId="18CBB53F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default" w:ascii="pingfang sc" w:hAnsi="pingfang sc" w:eastAsia="pingfang sc" w:cs="pingfang sc"/>
                <w:sz w:val="16"/>
                <w:szCs w:val="16"/>
                <w:highlight w:val="none"/>
              </w:rPr>
              <w:t>·</w:t>
            </w: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小组讨论、头脑风暴</w:t>
            </w:r>
          </w:p>
          <w:p w14:paraId="078A61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pingfang sc" w:hAnsi="pingfang sc" w:eastAsia="pingfang sc" w:cs="pingfang sc"/>
                <w:i/>
                <w:iCs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sz w:val="16"/>
                <w:szCs w:val="16"/>
                <w:highlight w:val="none"/>
                <w:lang w:val="en-US" w:eastAsia="zh-CN"/>
              </w:rPr>
              <w:t>·根据会议内容进行资料调研、查阅、梳理等</w:t>
            </w:r>
          </w:p>
        </w:tc>
      </w:tr>
      <w:tr w14:paraId="44906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4D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Hans"/>
              </w:rPr>
              <w:t>D</w:t>
            </w:r>
            <w:r>
              <w:rPr>
                <w:rFonts w:hint="eastAsia" w:ascii="Times New Roman" w:hAnsi="Times New Roman" w:eastAsia="PingFang SC Regular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12</w:t>
            </w:r>
          </w:p>
          <w:p w14:paraId="2C2CC37A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PingFang SC Regular" w:hAnsi="PingFang SC Regular" w:eastAsia="PingFang SC Regular" w:cs="PingFang SC Regular"/>
                <w:b/>
                <w:bCs/>
                <w:sz w:val="16"/>
                <w:szCs w:val="16"/>
                <w:highlight w:val="none"/>
                <w:lang w:val="en-US" w:eastAsia="zh-CN"/>
              </w:rPr>
              <w:t>返程日</w:t>
            </w:r>
          </w:p>
        </w:tc>
        <w:tc>
          <w:tcPr>
            <w:tcW w:w="7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3C3B8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  <w:lang w:val="en-US" w:eastAsia="zh-Hans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·搭乘飞机回国</w:t>
            </w:r>
          </w:p>
          <w:p w14:paraId="55D1EB23"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PingFang SC Semibold" w:hAnsi="PingFang SC Semibold" w:eastAsia="PingFang SC Semibold" w:cs="PingFang SC Semibold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hint="eastAsia" w:ascii="pingfang sc" w:hAnsi="pingfang sc" w:eastAsia="pingfang sc" w:cs="pingfang sc"/>
                <w:b w:val="0"/>
                <w:bCs w:val="0"/>
                <w:sz w:val="16"/>
                <w:szCs w:val="16"/>
                <w:highlight w:val="none"/>
                <w:lang w:val="en-US" w:eastAsia="zh-Hans"/>
              </w:rPr>
              <w:t>·抵达中国</w:t>
            </w:r>
          </w:p>
        </w:tc>
      </w:tr>
    </w:tbl>
    <w:p w14:paraId="0347CB94"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注：以上日程安排仅供参考。参会嘉宾及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参访机构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可能会因实际情况进行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调整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，以主办方最终通知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Hans"/>
        </w:rPr>
        <w:t>和执行</w:t>
      </w:r>
      <w:r>
        <w:rPr>
          <w:rFonts w:hint="eastAsia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val="en-US" w:eastAsia="zh-CN"/>
        </w:rPr>
        <w:t>为准</w:t>
      </w:r>
      <w:r>
        <w:rPr>
          <w:rFonts w:hint="default" w:ascii="微软雅黑" w:hAnsi="微软雅黑" w:eastAsia="微软雅黑" w:cs="微软雅黑"/>
          <w:b/>
          <w:bCs/>
          <w:i w:val="0"/>
          <w:color w:val="000000"/>
          <w:sz w:val="16"/>
          <w:szCs w:val="16"/>
          <w:highlight w:val="none"/>
          <w:u w:val="none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Semibold">
    <w:altName w:val="黑体"/>
    <w:panose1 w:val="020B0702040204020203"/>
    <w:charset w:val="86"/>
    <w:family w:val="swiss"/>
    <w:pitch w:val="default"/>
    <w:sig w:usb0="00000000" w:usb1="00000000" w:usb2="00000016" w:usb3="00000000" w:csb0="0004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京華老宋体_KingHwa_OldSong">
    <w:altName w:val="宋体"/>
    <w:panose1 w:val="00000000000000000000"/>
    <w:charset w:val="86"/>
    <w:family w:val="auto"/>
    <w:pitch w:val="default"/>
    <w:sig w:usb0="00000000" w:usb1="00000000" w:usb2="00000012" w:usb3="00000000" w:csb0="00040009" w:csb1="00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 Regular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PingFang SC Semibold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D1C5B"/>
    <w:rsid w:val="0BEB5B39"/>
    <w:rsid w:val="0EBFB6F3"/>
    <w:rsid w:val="1DBEEB1E"/>
    <w:rsid w:val="2DDFDB4B"/>
    <w:rsid w:val="2EF79FF7"/>
    <w:rsid w:val="3079630D"/>
    <w:rsid w:val="35DC167E"/>
    <w:rsid w:val="39970B0B"/>
    <w:rsid w:val="3BF22982"/>
    <w:rsid w:val="3EBF68EB"/>
    <w:rsid w:val="3EFF0E7D"/>
    <w:rsid w:val="3F61FCD1"/>
    <w:rsid w:val="3F6BD761"/>
    <w:rsid w:val="3FBEC684"/>
    <w:rsid w:val="3FE7D281"/>
    <w:rsid w:val="3FEDCBAA"/>
    <w:rsid w:val="437B25FA"/>
    <w:rsid w:val="43FFCD29"/>
    <w:rsid w:val="4BBD18C0"/>
    <w:rsid w:val="4FFE396C"/>
    <w:rsid w:val="56B77A1E"/>
    <w:rsid w:val="57B692B6"/>
    <w:rsid w:val="57F3EE71"/>
    <w:rsid w:val="58C6BBE3"/>
    <w:rsid w:val="59BE48D7"/>
    <w:rsid w:val="5BBF55A3"/>
    <w:rsid w:val="5EAF59AE"/>
    <w:rsid w:val="62BB2713"/>
    <w:rsid w:val="65DE0A2E"/>
    <w:rsid w:val="67E7A7C0"/>
    <w:rsid w:val="67FEFB33"/>
    <w:rsid w:val="69EFE871"/>
    <w:rsid w:val="6DFF0DE9"/>
    <w:rsid w:val="6F20627D"/>
    <w:rsid w:val="6F7FAD5B"/>
    <w:rsid w:val="753FDE96"/>
    <w:rsid w:val="759743C2"/>
    <w:rsid w:val="75EBFC90"/>
    <w:rsid w:val="77790124"/>
    <w:rsid w:val="77A71CAF"/>
    <w:rsid w:val="77FFA47A"/>
    <w:rsid w:val="78FBC522"/>
    <w:rsid w:val="79E14685"/>
    <w:rsid w:val="7AE5987C"/>
    <w:rsid w:val="7AF5543F"/>
    <w:rsid w:val="7AF8D8A2"/>
    <w:rsid w:val="7B4FCD28"/>
    <w:rsid w:val="7B7FC5B7"/>
    <w:rsid w:val="7BF9CF46"/>
    <w:rsid w:val="7D2EFA46"/>
    <w:rsid w:val="7DF24AD6"/>
    <w:rsid w:val="7E192400"/>
    <w:rsid w:val="7E77924A"/>
    <w:rsid w:val="7F6E1B19"/>
    <w:rsid w:val="7FA4D8F6"/>
    <w:rsid w:val="7FF3D131"/>
    <w:rsid w:val="7FFAC415"/>
    <w:rsid w:val="7FFF2D36"/>
    <w:rsid w:val="7FFFA130"/>
    <w:rsid w:val="8FE91D58"/>
    <w:rsid w:val="939F1C76"/>
    <w:rsid w:val="9566CF50"/>
    <w:rsid w:val="95ABD02A"/>
    <w:rsid w:val="96CD74AF"/>
    <w:rsid w:val="9FFF5973"/>
    <w:rsid w:val="A3FF7EFB"/>
    <w:rsid w:val="A6BBF83D"/>
    <w:rsid w:val="AFF77214"/>
    <w:rsid w:val="B4FD1C5B"/>
    <w:rsid w:val="B7761DC2"/>
    <w:rsid w:val="B7FF481E"/>
    <w:rsid w:val="BAFB31C1"/>
    <w:rsid w:val="BDF7970C"/>
    <w:rsid w:val="BDFFD65A"/>
    <w:rsid w:val="BFF65E1C"/>
    <w:rsid w:val="C2F75106"/>
    <w:rsid w:val="CE674176"/>
    <w:rsid w:val="DBFF47C1"/>
    <w:rsid w:val="DEEF2F75"/>
    <w:rsid w:val="DF6F78DF"/>
    <w:rsid w:val="DFBD8207"/>
    <w:rsid w:val="DFBF472B"/>
    <w:rsid w:val="E7D63F67"/>
    <w:rsid w:val="E7FBD42C"/>
    <w:rsid w:val="E97BAACA"/>
    <w:rsid w:val="EE67C6CD"/>
    <w:rsid w:val="EEEF8210"/>
    <w:rsid w:val="EF43269C"/>
    <w:rsid w:val="EF6B166D"/>
    <w:rsid w:val="EF7ECCC0"/>
    <w:rsid w:val="F3AF93F4"/>
    <w:rsid w:val="F3BFA595"/>
    <w:rsid w:val="F5BD7848"/>
    <w:rsid w:val="F5FF1306"/>
    <w:rsid w:val="F62B3FCA"/>
    <w:rsid w:val="F6FFDFFF"/>
    <w:rsid w:val="F7DF7A14"/>
    <w:rsid w:val="F7FB0EA9"/>
    <w:rsid w:val="F9FE3BEA"/>
    <w:rsid w:val="FABF682E"/>
    <w:rsid w:val="FB77F2CF"/>
    <w:rsid w:val="FB7D2B78"/>
    <w:rsid w:val="FCEF58C0"/>
    <w:rsid w:val="FD755D78"/>
    <w:rsid w:val="FEDBD48F"/>
    <w:rsid w:val="FEF78056"/>
    <w:rsid w:val="FEFFAA80"/>
    <w:rsid w:val="FF552AA5"/>
    <w:rsid w:val="FF5F18ED"/>
    <w:rsid w:val="FF6D3029"/>
    <w:rsid w:val="FF6F283D"/>
    <w:rsid w:val="FF7D1C27"/>
    <w:rsid w:val="FF7DE359"/>
    <w:rsid w:val="FF8D51BB"/>
    <w:rsid w:val="FFCFE902"/>
    <w:rsid w:val="FFEF7D65"/>
    <w:rsid w:val="FFF74E88"/>
    <w:rsid w:val="FFF8E093"/>
    <w:rsid w:val="FFF935B7"/>
    <w:rsid w:val="FFFF2E25"/>
    <w:rsid w:val="FFFFB44E"/>
    <w:rsid w:val="FFFFCD07"/>
    <w:rsid w:val="FFFFD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18"/>
      <w:outlineLvl w:val="0"/>
    </w:pPr>
    <w:rPr>
      <w:rFonts w:ascii="微软雅黑 Semibold" w:hAnsi="微软雅黑 Semibold" w:eastAsia="微软雅黑 Semibold" w:cs="微软雅黑 Semibold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OC Heading"/>
    <w:basedOn w:val="2"/>
    <w:next w:val="1"/>
    <w:unhideWhenUsed/>
    <w:qFormat/>
    <w:uiPriority w:val="39"/>
    <w:pPr>
      <w:keepLines/>
      <w:widowControl/>
      <w:spacing w:after="0" w:line="259" w:lineRule="auto"/>
      <w:jc w:val="left"/>
      <w:outlineLvl w:val="9"/>
    </w:pPr>
    <w:rPr>
      <w:color w:val="2F5496"/>
      <w:kern w:val="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1518</Words>
  <Characters>1689</Characters>
  <Lines>0</Lines>
  <Paragraphs>0</Paragraphs>
  <TotalTime>10</TotalTime>
  <ScaleCrop>false</ScaleCrop>
  <LinksUpToDate>false</LinksUpToDate>
  <CharactersWithSpaces>1723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2023-09-12T13:21:00Z</dcterms:created>
  <dc:creator>蒋国平</dc:creator>
  <cp:lastModifiedBy>修行的猫</cp:lastModifiedBy>
  <dcterms:modified xsi:type="dcterms:W3CDTF">2026-04-29T02:05:55Z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A8B19CC4191D40BCBB7E64DE122135C5_13</vt:lpwstr>
  </property>
  <property fmtid="{D5CDD505-2E9C-101B-9397-08002B2CF9AE}" pid="4" name="KSOTemplateDocerSaveRecord">
    <vt:lpwstr>eyJoZGlkIjoiZTljYWNjYTI3NjAwNGQ3NjEyNTlhYTE5ZWQzMmMzNTciLCJ1c2VySWQiOiIzNjE0ODIwMzAifQ==</vt:lpwstr>
  </property>
</Properties>
</file>