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rPr>
          <w:szCs w:val="21"/>
        </w:rPr>
      </w:pPr>
    </w:p>
    <w:p>
      <w:pPr>
        <w:spacing w:line="180" w:lineRule="exact"/>
        <w:rPr>
          <w:szCs w:val="21"/>
        </w:rPr>
      </w:pPr>
    </w:p>
    <w:p>
      <w:pPr>
        <w:spacing w:line="180" w:lineRule="exact"/>
        <w:rPr>
          <w:szCs w:val="21"/>
        </w:rPr>
      </w:pPr>
    </w:p>
    <w:p>
      <w:pPr>
        <w:spacing w:line="180" w:lineRule="exact"/>
        <w:rPr>
          <w:szCs w:val="21"/>
        </w:rPr>
      </w:pPr>
    </w:p>
    <w:tbl>
      <w:tblPr>
        <w:tblStyle w:val="3"/>
        <w:tblW w:w="5140" w:type="pct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1" w:hRule="atLeast"/>
        </w:trPr>
        <w:tc>
          <w:tcPr>
            <w:tcW w:w="8540" w:type="dxa"/>
            <w:tcBorders>
              <w:top w:val="single" w:color="0071BC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180" w:lineRule="exact"/>
              <w:rPr>
                <w:szCs w:val="21"/>
              </w:rPr>
            </w:pPr>
          </w:p>
          <w:p>
            <w:pPr>
              <w:spacing w:line="180" w:lineRule="exac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820" w:hRule="atLeast"/>
        </w:trPr>
        <w:tc>
          <w:tcPr>
            <w:tcW w:w="85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</w:rPr>
              <w:t>与管理主题参考日程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  <w:t>线下，课程+结业共15小时）</w:t>
            </w:r>
          </w:p>
          <w:p>
            <w:pPr>
              <w:jc w:val="center"/>
              <w:rPr>
                <w:rFonts w:hint="default"/>
                <w:b/>
                <w:bCs/>
                <w:color w:val="0071BC"/>
                <w:sz w:val="24"/>
                <w:szCs w:val="24"/>
                <w:lang w:val="en-US" w:eastAsia="zh-CN"/>
              </w:rPr>
            </w:pPr>
          </w:p>
          <w:tbl>
            <w:tblPr>
              <w:tblStyle w:val="3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7D1F5" w:sz="6" w:space="0"/>
                <w:right w:val="none" w:color="auto" w:sz="0" w:space="0"/>
                <w:insideH w:val="single" w:color="A7D1F5" w:sz="6" w:space="0"/>
                <w:insideV w:val="none" w:color="auto" w:sz="0" w:space="0"/>
              </w:tblBorders>
              <w:tblLayout w:type="autofit"/>
              <w:tblCellMar>
                <w:top w:w="85" w:type="dxa"/>
                <w:left w:w="57" w:type="dxa"/>
                <w:bottom w:w="85" w:type="dxa"/>
                <w:right w:w="57" w:type="dxa"/>
              </w:tblCellMar>
            </w:tblPr>
            <w:tblGrid>
              <w:gridCol w:w="891"/>
              <w:gridCol w:w="545"/>
              <w:gridCol w:w="2987"/>
              <w:gridCol w:w="510"/>
              <w:gridCol w:w="34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2"/>
                    </w:rPr>
                    <w:t>日期</w:t>
                  </w:r>
                </w:p>
              </w:tc>
              <w:tc>
                <w:tcPr>
                  <w:tcW w:w="566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color w:val="FFFFFF"/>
                      <w:sz w:val="22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2"/>
                    </w:rPr>
                    <w:t>上午</w:t>
                  </w:r>
                </w:p>
              </w:tc>
              <w:tc>
                <w:tcPr>
                  <w:tcW w:w="520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color w:val="FFFFFF"/>
                      <w:sz w:val="22"/>
                    </w:rPr>
                  </w:pPr>
                </w:p>
              </w:tc>
              <w:tc>
                <w:tcPr>
                  <w:tcW w:w="4336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2"/>
                    </w:rPr>
                    <w:t>下午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第1天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7.25</w:t>
                  </w:r>
                </w:p>
              </w:tc>
              <w:tc>
                <w:tcPr>
                  <w:tcW w:w="566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10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前往机场，出发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190500" cy="190500"/>
                        <wp:effectExtent l="0" t="0" r="0" b="0"/>
                        <wp:docPr id="1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6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到达，专车接往酒店，办理入住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第2天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7.26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drawing>
                      <wp:inline distT="0" distB="0" distL="114300" distR="114300">
                        <wp:extent cx="205105" cy="180975"/>
                        <wp:effectExtent l="0" t="0" r="4445" b="9525"/>
                        <wp:docPr id="1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澳门大学欢迎仪式</w:t>
                  </w:r>
                </w:p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市场</w:t>
                  </w:r>
                  <w:r>
                    <w:rPr>
                      <w:rFonts w:hint="eastAsia"/>
                      <w:sz w:val="23"/>
                      <w:szCs w:val="23"/>
                    </w:rPr>
                    <w:t>营销与品牌战略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营销的基本方式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品牌战略管理技巧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190500" cy="190500"/>
                        <wp:effectExtent l="0" t="0" r="0" b="0"/>
                        <wp:docPr id="15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名校交流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参访澳门大学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澳大学生大使介绍澳大历史、展望未来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学生大使带领参观澳大校园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与澳大在读学生进行学习生活上的交流分享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第3天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7.27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14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企业组织行为与激励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drawing>
                      <wp:inline distT="0" distB="0" distL="114300" distR="114300">
                        <wp:extent cx="200025" cy="180975"/>
                        <wp:effectExtent l="0" t="0" r="9525" b="9525"/>
                        <wp:docPr id="11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机构参访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参访乐高工作坊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运用“乐高认真玩”引导办法引发学生思考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通过与导师以及同学的交流让大家认识自己的初心以及未来规划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第4天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7.28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1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创新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专利</w:t>
                  </w:r>
                  <w:r>
                    <w:rPr>
                      <w:rFonts w:hint="eastAsia"/>
                      <w:sz w:val="23"/>
                      <w:szCs w:val="23"/>
                    </w:rPr>
                    <w:t>如何推动经济增长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经济增长的基本要素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经济增长的创新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190500" cy="190500"/>
                        <wp:effectExtent l="0" t="0" r="0" b="0"/>
                        <wp:docPr id="2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人文参访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参访澳门科学馆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观看全景电影-天行者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参观澳门科学馆众多展馆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体验澳门的科学教育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第5天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7.29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4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数字时代的广告和促销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数字时代的定义及特点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数字时代广告的黄金定律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数字时代促销的方法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drawing>
                      <wp:inline distT="0" distB="0" distL="114300" distR="114300">
                        <wp:extent cx="200025" cy="180975"/>
                        <wp:effectExtent l="0" t="0" r="9525" b="9525"/>
                        <wp:docPr id="3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3"/>
                      <w:szCs w:val="23"/>
                    </w:rPr>
                    <w:br w:type="textWrapping"/>
                  </w: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机构参访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参访澳门青年创新孵化中心（或安排核酸检测，视当时疫情防控政策而定）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参观澳门青年创新孵化中心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观看中心宣传片及简介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澳门青年创业培育计划和导向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中心会员创业历程分享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第6天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7.30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5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结业汇报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分小组进行结业专案汇报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教授点评及评分</w:t>
                  </w:r>
                </w:p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结业典礼</w:t>
                  </w:r>
                </w:p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颁发结业证书（所有学员）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颁发推荐信（最佳小组）</w:t>
                  </w:r>
                </w:p>
                <w:p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结业致辞</w:t>
                  </w:r>
                  <w:r>
                    <w:rPr>
                      <w:rFonts w:hint="eastAsia"/>
                      <w:sz w:val="20"/>
                      <w:szCs w:val="20"/>
                    </w:rPr>
                    <w:t>与合影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190500" cy="190500"/>
                        <wp:effectExtent l="0" t="0" r="0" b="0"/>
                        <wp:docPr id="6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3"/>
                      <w:szCs w:val="23"/>
                    </w:rPr>
                    <w:br w:type="textWrapping"/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</w:p>
                <w:p>
                  <w:pPr>
                    <w:rPr>
                      <w:sz w:val="23"/>
                      <w:szCs w:val="23"/>
                    </w:rPr>
                  </w:pPr>
                </w:p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名校交流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参访澳门科技大学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澳科大学生代表介绍澳门科技大学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参观澳科大校园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与澳科大学生代表交流分享学习心得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第7天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7.31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209550" cy="190500"/>
                        <wp:effectExtent l="0" t="0" r="0" b="0"/>
                        <wp:docPr id="9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41" w:type="dxa"/>
                  <w:gridSpan w:val="3"/>
                  <w:noWrap w:val="0"/>
                  <w:vAlign w:val="top"/>
                </w:tcPr>
                <w:p>
                  <w:pPr>
                    <w:rPr>
                      <w:rFonts w:hint="default" w:eastAsia="等线"/>
                      <w:b/>
                      <w:bCs/>
                      <w:color w:val="0071BC"/>
                      <w:sz w:val="23"/>
                      <w:szCs w:val="23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城市</w:t>
                  </w: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  <w:lang w:val="en-US" w:eastAsia="zh-CN"/>
                    </w:rPr>
                    <w:t>参访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建议：澳门塔、威尼斯人、新葡京、妈祖庙等等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8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第8天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8.1</w:t>
                  </w:r>
                </w:p>
              </w:tc>
              <w:tc>
                <w:tcPr>
                  <w:tcW w:w="566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drawing>
                      <wp:inline distT="0" distB="0" distL="114300" distR="114300">
                        <wp:extent cx="190500" cy="190500"/>
                        <wp:effectExtent l="0" t="0" r="0" b="0"/>
                        <wp:docPr id="7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办理退房，接往机场</w:t>
                  </w:r>
                </w:p>
              </w:tc>
              <w:tc>
                <w:tcPr>
                  <w:tcW w:w="520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drawing>
                      <wp:inline distT="0" distB="0" distL="114300" distR="114300">
                        <wp:extent cx="228600" cy="190500"/>
                        <wp:effectExtent l="0" t="0" r="0" b="0"/>
                        <wp:docPr id="8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3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返回内地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注：以上日程为往期范例，仅供参考，实际日程可能有调整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包括课程顺序）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，以最终项目安排为准。</w:t>
            </w:r>
          </w:p>
        </w:tc>
      </w:tr>
    </w:tbl>
    <w:p>
      <w:pPr>
        <w:rPr>
          <w:b/>
          <w:bCs/>
          <w:color w:val="0071BC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515" w:hRule="atLeast"/>
        </w:trPr>
        <w:tc>
          <w:tcPr>
            <w:tcW w:w="1031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</w:rPr>
              <w:t>与管理主题参考日程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71BC"/>
                <w:sz w:val="24"/>
                <w:szCs w:val="24"/>
                <w:lang w:val="en-US" w:eastAsia="zh-CN"/>
              </w:rPr>
              <w:t>线上，课程+结业共14小时）</w:t>
            </w:r>
          </w:p>
          <w:p>
            <w:pPr>
              <w:jc w:val="center"/>
              <w:rPr>
                <w:rFonts w:hint="default"/>
                <w:b/>
                <w:bCs/>
                <w:color w:val="0071BC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tbl>
            <w:tblPr>
              <w:tblStyle w:val="3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7D1F5" w:sz="6" w:space="0"/>
                <w:right w:val="none" w:color="auto" w:sz="0" w:space="0"/>
                <w:insideH w:val="single" w:color="A7D1F5" w:sz="6" w:space="0"/>
                <w:insideV w:val="none" w:color="auto" w:sz="0" w:space="0"/>
              </w:tblBorders>
              <w:tblLayout w:type="autofit"/>
              <w:tblCellMar>
                <w:top w:w="85" w:type="dxa"/>
                <w:left w:w="57" w:type="dxa"/>
                <w:bottom w:w="85" w:type="dxa"/>
                <w:right w:w="57" w:type="dxa"/>
              </w:tblCellMar>
            </w:tblPr>
            <w:tblGrid>
              <w:gridCol w:w="902"/>
              <w:gridCol w:w="473"/>
              <w:gridCol w:w="3039"/>
              <w:gridCol w:w="437"/>
              <w:gridCol w:w="34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2"/>
                    </w:rPr>
                    <w:t>日期</w:t>
                  </w:r>
                </w:p>
              </w:tc>
              <w:tc>
                <w:tcPr>
                  <w:tcW w:w="572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color w:val="FFFFFF"/>
                      <w:sz w:val="22"/>
                    </w:rPr>
                  </w:pPr>
                </w:p>
              </w:tc>
              <w:tc>
                <w:tcPr>
                  <w:tcW w:w="3727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eastAsia="等线"/>
                      <w:b/>
                      <w:bCs/>
                      <w:color w:val="FFFFFF"/>
                      <w:sz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22"/>
                      <w:lang w:val="en-US" w:eastAsia="zh-CN"/>
                    </w:rPr>
                    <w:t>课程主题</w:t>
                  </w:r>
                </w:p>
              </w:tc>
              <w:tc>
                <w:tcPr>
                  <w:tcW w:w="526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color w:val="FFFFFF"/>
                      <w:sz w:val="22"/>
                    </w:rPr>
                  </w:pPr>
                </w:p>
              </w:tc>
              <w:tc>
                <w:tcPr>
                  <w:tcW w:w="4385" w:type="dxa"/>
                  <w:tcBorders>
                    <w:top w:val="nil"/>
                    <w:bottom w:val="nil"/>
                  </w:tcBorders>
                  <w:shd w:val="clear" w:color="auto" w:fill="0071BC"/>
                  <w:noWrap w:val="0"/>
                  <w:vAlign w:val="top"/>
                </w:tcPr>
                <w:p>
                  <w:pPr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第1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8.2</w:t>
                  </w:r>
                </w:p>
              </w:tc>
              <w:tc>
                <w:tcPr>
                  <w:tcW w:w="572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领导力与创新管理：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领导力指导培养</w:t>
                  </w:r>
                </w:p>
              </w:tc>
              <w:tc>
                <w:tcPr>
                  <w:tcW w:w="526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第2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8.5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rFonts w:hint="eastAsia"/>
                      <w:color w:val="auto"/>
                      <w:sz w:val="23"/>
                      <w:szCs w:val="23"/>
                    </w:rPr>
                    <w:t>现代企业财务与管理会计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第3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8.10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人工智能的基础：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计算机逻辑与数据库系统導論</w:t>
                  </w: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第4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次8.12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人力资源管理概论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第5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8.17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科技创新与商业管理：</w:t>
                  </w:r>
                </w:p>
                <w:p>
                  <w:pPr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大数据的应用</w:t>
                  </w: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第6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default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8.19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大学课程</w:t>
                  </w:r>
                </w:p>
                <w:p>
                  <w:pPr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公共演讲商业演示技巧</w:t>
                  </w:r>
                </w:p>
                <w:p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7D1F5" w:sz="6" w:space="0"/>
                  <w:right w:val="none" w:color="auto" w:sz="0" w:space="0"/>
                  <w:insideH w:val="single" w:color="A7D1F5" w:sz="6" w:space="0"/>
                  <w:insideV w:val="none" w:color="auto" w:sz="0" w:space="0"/>
                </w:tblBorders>
                <w:tblCellMar>
                  <w:top w:w="85" w:type="dxa"/>
                  <w:left w:w="57" w:type="dxa"/>
                  <w:bottom w:w="85" w:type="dxa"/>
                  <w:right w:w="57" w:type="dxa"/>
                </w:tblCellMar>
              </w:tblPrEx>
              <w:tc>
                <w:tcPr>
                  <w:tcW w:w="99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等线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第7</w:t>
                  </w: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次</w:t>
                  </w:r>
                </w:p>
                <w:p>
                  <w:pPr>
                    <w:jc w:val="center"/>
                    <w:rPr>
                      <w:rFonts w:hint="eastAsia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/>
                      <w:sz w:val="23"/>
                      <w:szCs w:val="23"/>
                      <w:lang w:val="en-US" w:eastAsia="zh-CN"/>
                    </w:rPr>
                    <w:t>8.24</w:t>
                  </w:r>
                </w:p>
              </w:tc>
              <w:tc>
                <w:tcPr>
                  <w:tcW w:w="572" w:type="dxa"/>
                  <w:noWrap w:val="0"/>
                  <w:vAlign w:val="top"/>
                </w:tcPr>
                <w:p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27" w:type="dxa"/>
                  <w:noWrap w:val="0"/>
                  <w:vAlign w:val="top"/>
                </w:tcPr>
                <w:p>
                  <w:pPr>
                    <w:rPr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b/>
                      <w:bCs/>
                      <w:color w:val="0071BC"/>
                      <w:sz w:val="23"/>
                      <w:szCs w:val="23"/>
                      <w:u w:val="single"/>
                    </w:rPr>
                    <w:t>结业汇报</w:t>
                  </w:r>
                </w:p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分小组进行结业专案汇报</w:t>
                  </w:r>
                </w:p>
                <w:p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教授点评及评分</w:t>
                  </w:r>
                </w:p>
              </w:tc>
              <w:tc>
                <w:tcPr>
                  <w:tcW w:w="526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85" w:type="dxa"/>
                  <w:noWrap w:val="0"/>
                  <w:vAlign w:val="top"/>
                </w:tcPr>
                <w:p>
                  <w:pPr>
                    <w:rPr>
                      <w:sz w:val="23"/>
                      <w:szCs w:val="23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注：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实际日程可能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略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有调整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包括课程顺序）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，以最终项目安排为准。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每天上课时间和师资待定。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Arial" w:hAnsi="Arial" w:eastAsia="等线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线上课程的结业证书、推荐信（最佳小组）将通过快递方式送达学校。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1D195"/>
    <w:multiLevelType w:val="singleLevel"/>
    <w:tmpl w:val="C801D1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02B2"/>
    <w:rsid w:val="6B7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2021-06-16T02:29:00Z</dcterms:created>
  <dc:creator>anwyl</dc:creator>
  <cp:lastModifiedBy>anwyl</cp:lastModifiedBy>
  <dcterms:modified xsi:type="dcterms:W3CDTF">2021-06-16T02:33:01Z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A8CF74AC141B4A9BABE85873D069961C</vt:lpwstr>
  </property>
</Properties>
</file>